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BC" w:rsidRPr="007B2765" w:rsidRDefault="004B31BC" w:rsidP="004B31BC">
      <w:pPr>
        <w:jc w:val="center"/>
        <w:rPr>
          <w:b/>
        </w:rPr>
      </w:pPr>
      <w:r w:rsidRPr="007B2765">
        <w:rPr>
          <w:b/>
        </w:rPr>
        <w:t>Шановні акціонери!</w:t>
      </w:r>
    </w:p>
    <w:p w:rsidR="004B31BC" w:rsidRPr="007B2765" w:rsidRDefault="004B31BC" w:rsidP="004B31BC">
      <w:pPr>
        <w:ind w:firstLine="708"/>
        <w:jc w:val="both"/>
      </w:pPr>
      <w:r w:rsidRPr="007B2765">
        <w:t xml:space="preserve">Правління </w:t>
      </w:r>
      <w:r w:rsidRPr="007B2765">
        <w:rPr>
          <w:b/>
        </w:rPr>
        <w:t>Публічного акціонерного товариства „УПРАВЛІННЯ БУДІВНИЦТВА ХМЕЛЬНИЦЬКОЇ АЕС”</w:t>
      </w:r>
      <w:r w:rsidRPr="007B2765">
        <w:t xml:space="preserve"> повідомляє Вас про скликання </w:t>
      </w:r>
      <w:r w:rsidR="00DC00B4" w:rsidRPr="007B2765">
        <w:t xml:space="preserve">річних </w:t>
      </w:r>
      <w:r w:rsidRPr="007B2765">
        <w:t xml:space="preserve">загальних зборів акціонерів </w:t>
      </w:r>
      <w:r w:rsidR="000D72B8" w:rsidRPr="007B2765">
        <w:rPr>
          <w:b/>
        </w:rPr>
        <w:t>2</w:t>
      </w:r>
      <w:r w:rsidR="003D0FEA" w:rsidRPr="007B2765">
        <w:rPr>
          <w:b/>
        </w:rPr>
        <w:t>4</w:t>
      </w:r>
      <w:r w:rsidR="00DC00B4" w:rsidRPr="007B2765">
        <w:rPr>
          <w:b/>
        </w:rPr>
        <w:t xml:space="preserve"> квітня</w:t>
      </w:r>
      <w:r w:rsidRPr="007B2765">
        <w:rPr>
          <w:b/>
        </w:rPr>
        <w:t xml:space="preserve">  201</w:t>
      </w:r>
      <w:r w:rsidR="000D72B8" w:rsidRPr="007B2765">
        <w:rPr>
          <w:b/>
        </w:rPr>
        <w:t>4</w:t>
      </w:r>
      <w:r w:rsidR="003D0FEA" w:rsidRPr="007B2765">
        <w:rPr>
          <w:b/>
        </w:rPr>
        <w:t xml:space="preserve"> </w:t>
      </w:r>
      <w:r w:rsidRPr="007B2765">
        <w:rPr>
          <w:b/>
        </w:rPr>
        <w:t>року о 11:00</w:t>
      </w:r>
      <w:r w:rsidRPr="007B2765">
        <w:t xml:space="preserve"> в приміщенні актової зали адміністративного будинку ПАТ „УБ ХАЕС” за його місцезнаходженням: Хмельницька обл.., </w:t>
      </w:r>
      <w:proofErr w:type="spellStart"/>
      <w:r w:rsidRPr="007B2765">
        <w:t>м.Нетішин</w:t>
      </w:r>
      <w:proofErr w:type="spellEnd"/>
      <w:r w:rsidRPr="007B2765">
        <w:t xml:space="preserve">, </w:t>
      </w:r>
      <w:proofErr w:type="spellStart"/>
      <w:r w:rsidRPr="007B2765">
        <w:t>вул.Ринкова</w:t>
      </w:r>
      <w:proofErr w:type="spellEnd"/>
      <w:r w:rsidRPr="007B2765">
        <w:t>, будинок 5.</w:t>
      </w:r>
    </w:p>
    <w:p w:rsidR="004B31BC" w:rsidRPr="007B2765" w:rsidRDefault="004B31BC" w:rsidP="004B31BC">
      <w:pPr>
        <w:ind w:firstLine="708"/>
        <w:jc w:val="both"/>
      </w:pPr>
      <w:r w:rsidRPr="007B2765">
        <w:t xml:space="preserve">Реєстрація акціонерів та їх представників відбуватиметься з </w:t>
      </w:r>
      <w:r w:rsidRPr="007B2765">
        <w:rPr>
          <w:b/>
        </w:rPr>
        <w:t xml:space="preserve">09:00 до 10:30 </w:t>
      </w:r>
      <w:r w:rsidRPr="007B2765">
        <w:t>за місцем проведення зборів.</w:t>
      </w:r>
    </w:p>
    <w:p w:rsidR="004B31BC" w:rsidRPr="007B2765" w:rsidRDefault="004B31BC" w:rsidP="004B31BC">
      <w:pPr>
        <w:ind w:firstLine="708"/>
        <w:jc w:val="both"/>
      </w:pPr>
      <w:r w:rsidRPr="007B2765">
        <w:t xml:space="preserve">Дата складення переліку акціонерів, що мають право на участь у зборах – </w:t>
      </w:r>
      <w:r w:rsidR="003D0FEA" w:rsidRPr="007B2765">
        <w:rPr>
          <w:b/>
        </w:rPr>
        <w:t>1</w:t>
      </w:r>
      <w:r w:rsidR="000D72B8" w:rsidRPr="007B2765">
        <w:rPr>
          <w:b/>
          <w:lang w:val="ru-RU"/>
        </w:rPr>
        <w:t xml:space="preserve">7 </w:t>
      </w:r>
      <w:r w:rsidR="000D72B8" w:rsidRPr="007B2765">
        <w:rPr>
          <w:b/>
        </w:rPr>
        <w:t>квітня</w:t>
      </w:r>
      <w:r w:rsidRPr="007B2765">
        <w:rPr>
          <w:b/>
        </w:rPr>
        <w:t xml:space="preserve"> 201</w:t>
      </w:r>
      <w:r w:rsidR="000D72B8" w:rsidRPr="007B2765">
        <w:rPr>
          <w:b/>
        </w:rPr>
        <w:t>4</w:t>
      </w:r>
      <w:r w:rsidRPr="007B2765">
        <w:t xml:space="preserve"> року.</w:t>
      </w:r>
    </w:p>
    <w:p w:rsidR="004B31BC" w:rsidRPr="007B2765" w:rsidRDefault="004B31BC" w:rsidP="004B31BC">
      <w:pPr>
        <w:jc w:val="center"/>
        <w:rPr>
          <w:b/>
        </w:rPr>
      </w:pPr>
      <w:r w:rsidRPr="007B2765">
        <w:rPr>
          <w:b/>
        </w:rPr>
        <w:t>ПОРЯДОК ДЕННИЙ:</w:t>
      </w:r>
    </w:p>
    <w:p w:rsidR="00DC00B4" w:rsidRPr="007B2765" w:rsidRDefault="00DC00B4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Обрання лічильної комісії </w:t>
      </w:r>
      <w:proofErr w:type="gramStart"/>
      <w:r w:rsidR="004B7C3E" w:rsidRPr="007B2765">
        <w:rPr>
          <w:rFonts w:ascii="Times New Roman" w:hAnsi="Times New Roman"/>
          <w:sz w:val="20"/>
          <w:szCs w:val="20"/>
        </w:rPr>
        <w:t>р</w:t>
      </w:r>
      <w:proofErr w:type="gramEnd"/>
      <w:r w:rsidR="004B7C3E" w:rsidRPr="007B2765">
        <w:rPr>
          <w:rFonts w:ascii="Times New Roman" w:hAnsi="Times New Roman"/>
          <w:sz w:val="20"/>
          <w:szCs w:val="20"/>
        </w:rPr>
        <w:t xml:space="preserve">ічних </w:t>
      </w:r>
      <w:r w:rsidRPr="007B2765">
        <w:rPr>
          <w:rFonts w:ascii="Times New Roman" w:hAnsi="Times New Roman"/>
          <w:sz w:val="20"/>
          <w:szCs w:val="20"/>
        </w:rPr>
        <w:t>загальних зборів ПАТ «УБ ХАЕС».</w:t>
      </w:r>
    </w:p>
    <w:p w:rsidR="00DC00B4" w:rsidRPr="007B2765" w:rsidRDefault="00DC00B4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Заслуховування та затвердження </w:t>
      </w:r>
      <w:proofErr w:type="gramStart"/>
      <w:r w:rsidRPr="007B2765">
        <w:rPr>
          <w:rFonts w:ascii="Times New Roman" w:hAnsi="Times New Roman"/>
          <w:sz w:val="20"/>
          <w:szCs w:val="20"/>
        </w:rPr>
        <w:t>р</w:t>
      </w:r>
      <w:proofErr w:type="gramEnd"/>
      <w:r w:rsidRPr="007B2765">
        <w:rPr>
          <w:rFonts w:ascii="Times New Roman" w:hAnsi="Times New Roman"/>
          <w:sz w:val="20"/>
          <w:szCs w:val="20"/>
        </w:rPr>
        <w:t>ічного звіту Правління про результати фінансово-господарської діяльності ПАТ «УБ ХАЕС» за 201</w:t>
      </w:r>
      <w:r w:rsidR="000D72B8" w:rsidRPr="007B2765">
        <w:rPr>
          <w:rFonts w:ascii="Times New Roman" w:hAnsi="Times New Roman"/>
          <w:sz w:val="20"/>
          <w:szCs w:val="20"/>
        </w:rPr>
        <w:t>3</w:t>
      </w:r>
      <w:r w:rsidRPr="007B2765">
        <w:rPr>
          <w:rFonts w:ascii="Times New Roman" w:hAnsi="Times New Roman"/>
          <w:sz w:val="20"/>
          <w:szCs w:val="20"/>
        </w:rPr>
        <w:t xml:space="preserve"> рік. </w:t>
      </w:r>
    </w:p>
    <w:p w:rsidR="00DC00B4" w:rsidRPr="007B2765" w:rsidRDefault="00DC00B4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Заслуховування та затвердження </w:t>
      </w:r>
      <w:proofErr w:type="gramStart"/>
      <w:r w:rsidRPr="007B2765">
        <w:rPr>
          <w:rFonts w:ascii="Times New Roman" w:hAnsi="Times New Roman"/>
          <w:sz w:val="20"/>
          <w:szCs w:val="20"/>
        </w:rPr>
        <w:t>р</w:t>
      </w:r>
      <w:proofErr w:type="gramEnd"/>
      <w:r w:rsidRPr="007B2765">
        <w:rPr>
          <w:rFonts w:ascii="Times New Roman" w:hAnsi="Times New Roman"/>
          <w:sz w:val="20"/>
          <w:szCs w:val="20"/>
        </w:rPr>
        <w:t>ічного звіту та висновків Ревізійної комісії про результати фінансово-господарської діяльності правління ПАТ «УБ ХАЕС» за 201</w:t>
      </w:r>
      <w:r w:rsidR="000D72B8" w:rsidRPr="007B2765">
        <w:rPr>
          <w:rFonts w:ascii="Times New Roman" w:hAnsi="Times New Roman"/>
          <w:sz w:val="20"/>
          <w:szCs w:val="20"/>
        </w:rPr>
        <w:t>3</w:t>
      </w:r>
      <w:r w:rsidRPr="007B2765">
        <w:rPr>
          <w:rFonts w:ascii="Times New Roman" w:hAnsi="Times New Roman"/>
          <w:sz w:val="20"/>
          <w:szCs w:val="20"/>
        </w:rPr>
        <w:t xml:space="preserve"> рік. </w:t>
      </w:r>
    </w:p>
    <w:p w:rsidR="00DC00B4" w:rsidRPr="007B2765" w:rsidRDefault="00DC00B4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Заслуховування та затвердження </w:t>
      </w:r>
      <w:proofErr w:type="gramStart"/>
      <w:r w:rsidRPr="007B2765">
        <w:rPr>
          <w:rFonts w:ascii="Times New Roman" w:hAnsi="Times New Roman"/>
          <w:sz w:val="20"/>
          <w:szCs w:val="20"/>
        </w:rPr>
        <w:t>р</w:t>
      </w:r>
      <w:proofErr w:type="gramEnd"/>
      <w:r w:rsidRPr="007B2765">
        <w:rPr>
          <w:rFonts w:ascii="Times New Roman" w:hAnsi="Times New Roman"/>
          <w:sz w:val="20"/>
          <w:szCs w:val="20"/>
        </w:rPr>
        <w:t>ічного звіту Наглядової ради про результати фінансово-господарської діяльності ПАТ «УБ ХАЕС» за 201</w:t>
      </w:r>
      <w:r w:rsidR="000D72B8" w:rsidRPr="007B2765">
        <w:rPr>
          <w:rFonts w:ascii="Times New Roman" w:hAnsi="Times New Roman"/>
          <w:sz w:val="20"/>
          <w:szCs w:val="20"/>
        </w:rPr>
        <w:t>3</w:t>
      </w:r>
      <w:r w:rsidRPr="007B2765">
        <w:rPr>
          <w:rFonts w:ascii="Times New Roman" w:hAnsi="Times New Roman"/>
          <w:sz w:val="20"/>
          <w:szCs w:val="20"/>
        </w:rPr>
        <w:t xml:space="preserve"> рік.</w:t>
      </w:r>
    </w:p>
    <w:p w:rsidR="00DC00B4" w:rsidRPr="007B2765" w:rsidRDefault="00DC00B4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Затвердження </w:t>
      </w:r>
      <w:proofErr w:type="gramStart"/>
      <w:r w:rsidRPr="007B2765">
        <w:rPr>
          <w:rFonts w:ascii="Times New Roman" w:hAnsi="Times New Roman"/>
          <w:sz w:val="20"/>
          <w:szCs w:val="20"/>
        </w:rPr>
        <w:t>р</w:t>
      </w:r>
      <w:proofErr w:type="gramEnd"/>
      <w:r w:rsidRPr="007B2765">
        <w:rPr>
          <w:rFonts w:ascii="Times New Roman" w:hAnsi="Times New Roman"/>
          <w:sz w:val="20"/>
          <w:szCs w:val="20"/>
        </w:rPr>
        <w:t>ічної фінансової звітності ПАТ «УБ ХАЕС».</w:t>
      </w:r>
    </w:p>
    <w:p w:rsidR="00DC00B4" w:rsidRPr="007B2765" w:rsidRDefault="00DC00B4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Прийняття </w:t>
      </w:r>
      <w:proofErr w:type="gramStart"/>
      <w:r w:rsidRPr="007B2765">
        <w:rPr>
          <w:rFonts w:ascii="Times New Roman" w:hAnsi="Times New Roman"/>
          <w:sz w:val="20"/>
          <w:szCs w:val="20"/>
        </w:rPr>
        <w:t>р</w:t>
      </w:r>
      <w:proofErr w:type="gramEnd"/>
      <w:r w:rsidRPr="007B2765">
        <w:rPr>
          <w:rFonts w:ascii="Times New Roman" w:hAnsi="Times New Roman"/>
          <w:sz w:val="20"/>
          <w:szCs w:val="20"/>
        </w:rPr>
        <w:t>ішення про порядок покриття збитків ПАТ «УБ ХАЕС» за 201</w:t>
      </w:r>
      <w:r w:rsidR="000D72B8" w:rsidRPr="007B2765">
        <w:rPr>
          <w:rFonts w:ascii="Times New Roman" w:hAnsi="Times New Roman"/>
          <w:sz w:val="20"/>
          <w:szCs w:val="20"/>
        </w:rPr>
        <w:t>3</w:t>
      </w:r>
      <w:r w:rsidRPr="007B2765">
        <w:rPr>
          <w:rFonts w:ascii="Times New Roman" w:hAnsi="Times New Roman"/>
          <w:sz w:val="20"/>
          <w:szCs w:val="20"/>
        </w:rPr>
        <w:t xml:space="preserve"> рік.</w:t>
      </w:r>
    </w:p>
    <w:p w:rsidR="000D72B8" w:rsidRPr="007B2765" w:rsidRDefault="000D72B8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>Обрання членів Наглядової ради Товариства.</w:t>
      </w:r>
    </w:p>
    <w:p w:rsidR="000D72B8" w:rsidRPr="007B2765" w:rsidRDefault="000D72B8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Затвердження умов цивільно-правових договорів, трудових договорів (контрактів), що укладатимуться з членами Наглядової ради, встановлення розміру їх винагороди, обрання особи, яка уповноважується на </w:t>
      </w:r>
      <w:proofErr w:type="gramStart"/>
      <w:r w:rsidRPr="007B2765">
        <w:rPr>
          <w:rFonts w:ascii="Times New Roman" w:hAnsi="Times New Roman"/>
          <w:sz w:val="20"/>
          <w:szCs w:val="20"/>
        </w:rPr>
        <w:t>п</w:t>
      </w:r>
      <w:proofErr w:type="gramEnd"/>
      <w:r w:rsidRPr="007B2765">
        <w:rPr>
          <w:rFonts w:ascii="Times New Roman" w:hAnsi="Times New Roman"/>
          <w:sz w:val="20"/>
          <w:szCs w:val="20"/>
        </w:rPr>
        <w:t>ідписання договорів (контрактів) з членами Наглядової ради.</w:t>
      </w:r>
    </w:p>
    <w:p w:rsidR="000D72B8" w:rsidRPr="007B2765" w:rsidRDefault="000D72B8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>Обрання Голови Правління Товариства.</w:t>
      </w:r>
    </w:p>
    <w:p w:rsidR="000D72B8" w:rsidRPr="007B2765" w:rsidRDefault="000D72B8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>Затвердження членів Правління Товариства.</w:t>
      </w:r>
    </w:p>
    <w:p w:rsidR="000D72B8" w:rsidRPr="007B2765" w:rsidRDefault="000D72B8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>Обрання членів Ревізійної комісії Товариства.</w:t>
      </w:r>
    </w:p>
    <w:p w:rsidR="000D72B8" w:rsidRPr="007B2765" w:rsidRDefault="000D72B8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Попереднє схвалення значних </w:t>
      </w:r>
      <w:proofErr w:type="spellStart"/>
      <w:r w:rsidRPr="007B2765">
        <w:rPr>
          <w:rFonts w:ascii="Times New Roman" w:hAnsi="Times New Roman"/>
          <w:sz w:val="20"/>
          <w:szCs w:val="20"/>
        </w:rPr>
        <w:t>правочині</w:t>
      </w:r>
      <w:proofErr w:type="gramStart"/>
      <w:r w:rsidRPr="007B2765">
        <w:rPr>
          <w:rFonts w:ascii="Times New Roman" w:hAnsi="Times New Roman"/>
          <w:sz w:val="20"/>
          <w:szCs w:val="20"/>
        </w:rPr>
        <w:t>в</w:t>
      </w:r>
      <w:proofErr w:type="spellEnd"/>
      <w:proofErr w:type="gramEnd"/>
      <w:r w:rsidRPr="007B27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B2765">
        <w:rPr>
          <w:rFonts w:ascii="Times New Roman" w:hAnsi="Times New Roman"/>
          <w:sz w:val="20"/>
          <w:szCs w:val="20"/>
        </w:rPr>
        <w:t>які</w:t>
      </w:r>
      <w:proofErr w:type="spellEnd"/>
      <w:r w:rsidRPr="007B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2765">
        <w:rPr>
          <w:rFonts w:ascii="Times New Roman" w:hAnsi="Times New Roman"/>
          <w:sz w:val="20"/>
          <w:szCs w:val="20"/>
        </w:rPr>
        <w:t>можуть</w:t>
      </w:r>
      <w:proofErr w:type="spellEnd"/>
      <w:r w:rsidRPr="007B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2765">
        <w:rPr>
          <w:rFonts w:ascii="Times New Roman" w:hAnsi="Times New Roman"/>
          <w:sz w:val="20"/>
          <w:szCs w:val="20"/>
        </w:rPr>
        <w:t>вчинятися</w:t>
      </w:r>
      <w:proofErr w:type="spellEnd"/>
      <w:r w:rsidRPr="007B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2765">
        <w:rPr>
          <w:rFonts w:ascii="Times New Roman" w:hAnsi="Times New Roman"/>
          <w:sz w:val="20"/>
          <w:szCs w:val="20"/>
        </w:rPr>
        <w:t>Товариством</w:t>
      </w:r>
      <w:proofErr w:type="spellEnd"/>
      <w:r w:rsidRPr="007B2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2765">
        <w:rPr>
          <w:rFonts w:ascii="Times New Roman" w:hAnsi="Times New Roman"/>
          <w:sz w:val="20"/>
          <w:szCs w:val="20"/>
        </w:rPr>
        <w:t>протягом</w:t>
      </w:r>
      <w:proofErr w:type="spellEnd"/>
      <w:r w:rsidRPr="007B2765">
        <w:rPr>
          <w:rFonts w:ascii="Times New Roman" w:hAnsi="Times New Roman"/>
          <w:sz w:val="20"/>
          <w:szCs w:val="20"/>
        </w:rPr>
        <w:t xml:space="preserve"> року</w:t>
      </w:r>
      <w:r w:rsidR="007B2765" w:rsidRPr="007B2765">
        <w:rPr>
          <w:rFonts w:ascii="Times New Roman" w:hAnsi="Times New Roman"/>
          <w:sz w:val="20"/>
          <w:szCs w:val="20"/>
          <w:lang w:val="uk-UA"/>
        </w:rPr>
        <w:t>.</w:t>
      </w:r>
    </w:p>
    <w:p w:rsidR="00DC00B4" w:rsidRPr="007B2765" w:rsidRDefault="00DC00B4" w:rsidP="007B27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2765">
        <w:rPr>
          <w:rFonts w:ascii="Times New Roman" w:hAnsi="Times New Roman"/>
          <w:sz w:val="20"/>
          <w:szCs w:val="20"/>
        </w:rPr>
        <w:t xml:space="preserve">Прийняття </w:t>
      </w:r>
      <w:proofErr w:type="gramStart"/>
      <w:r w:rsidRPr="007B2765">
        <w:rPr>
          <w:rFonts w:ascii="Times New Roman" w:hAnsi="Times New Roman"/>
          <w:sz w:val="20"/>
          <w:szCs w:val="20"/>
        </w:rPr>
        <w:t>р</w:t>
      </w:r>
      <w:proofErr w:type="gramEnd"/>
      <w:r w:rsidRPr="007B2765">
        <w:rPr>
          <w:rFonts w:ascii="Times New Roman" w:hAnsi="Times New Roman"/>
          <w:sz w:val="20"/>
          <w:szCs w:val="20"/>
        </w:rPr>
        <w:t>ішення про викуп Товариством розміщених ним акцій.</w:t>
      </w:r>
    </w:p>
    <w:p w:rsidR="00DC00B4" w:rsidRPr="007B2765" w:rsidRDefault="00DC00B4" w:rsidP="007B2765">
      <w:pPr>
        <w:pStyle w:val="a3"/>
        <w:ind w:left="644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7B2765">
        <w:rPr>
          <w:rFonts w:ascii="Times New Roman" w:hAnsi="Times New Roman"/>
          <w:i/>
          <w:sz w:val="20"/>
          <w:szCs w:val="20"/>
        </w:rPr>
        <w:t>Основні</w:t>
      </w:r>
      <w:proofErr w:type="spellEnd"/>
      <w:r w:rsidRPr="007B276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B2765">
        <w:rPr>
          <w:rFonts w:ascii="Times New Roman" w:hAnsi="Times New Roman"/>
          <w:i/>
          <w:sz w:val="20"/>
          <w:szCs w:val="20"/>
        </w:rPr>
        <w:t>показники</w:t>
      </w:r>
      <w:proofErr w:type="spellEnd"/>
      <w:r w:rsidRPr="007B276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B2765">
        <w:rPr>
          <w:rFonts w:ascii="Times New Roman" w:hAnsi="Times New Roman"/>
          <w:i/>
          <w:sz w:val="20"/>
          <w:szCs w:val="20"/>
        </w:rPr>
        <w:t>фінансово-господарської</w:t>
      </w:r>
      <w:proofErr w:type="spellEnd"/>
      <w:r w:rsidRPr="007B276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B2765">
        <w:rPr>
          <w:rFonts w:ascii="Times New Roman" w:hAnsi="Times New Roman"/>
          <w:i/>
          <w:sz w:val="20"/>
          <w:szCs w:val="20"/>
        </w:rPr>
        <w:t>діяльності</w:t>
      </w:r>
      <w:proofErr w:type="spellEnd"/>
      <w:r w:rsidRPr="007B2765">
        <w:rPr>
          <w:rFonts w:ascii="Times New Roman" w:hAnsi="Times New Roman"/>
          <w:i/>
          <w:sz w:val="20"/>
          <w:szCs w:val="20"/>
        </w:rPr>
        <w:t xml:space="preserve"> </w:t>
      </w:r>
      <w:r w:rsidR="000C3871" w:rsidRPr="007B2765">
        <w:rPr>
          <w:rFonts w:ascii="Times New Roman" w:hAnsi="Times New Roman"/>
          <w:i/>
          <w:sz w:val="20"/>
          <w:szCs w:val="20"/>
          <w:lang w:val="uk-UA"/>
        </w:rPr>
        <w:t>П</w:t>
      </w:r>
      <w:r w:rsidRPr="007B2765">
        <w:rPr>
          <w:rFonts w:ascii="Times New Roman" w:hAnsi="Times New Roman"/>
          <w:i/>
          <w:sz w:val="20"/>
          <w:szCs w:val="20"/>
        </w:rPr>
        <w:t>АТ «УБ ХАЕС»  (</w:t>
      </w:r>
      <w:proofErr w:type="spellStart"/>
      <w:r w:rsidRPr="007B2765">
        <w:rPr>
          <w:rFonts w:ascii="Times New Roman" w:hAnsi="Times New Roman"/>
          <w:i/>
          <w:sz w:val="20"/>
          <w:szCs w:val="20"/>
        </w:rPr>
        <w:t>тис</w:t>
      </w:r>
      <w:proofErr w:type="gramStart"/>
      <w:r w:rsidRPr="007B2765">
        <w:rPr>
          <w:rFonts w:ascii="Times New Roman" w:hAnsi="Times New Roman"/>
          <w:i/>
          <w:sz w:val="20"/>
          <w:szCs w:val="20"/>
        </w:rPr>
        <w:t>.г</w:t>
      </w:r>
      <w:proofErr w:type="gramEnd"/>
      <w:r w:rsidRPr="007B2765">
        <w:rPr>
          <w:rFonts w:ascii="Times New Roman" w:hAnsi="Times New Roman"/>
          <w:i/>
          <w:sz w:val="20"/>
          <w:szCs w:val="20"/>
        </w:rPr>
        <w:t>рн</w:t>
      </w:r>
      <w:proofErr w:type="spellEnd"/>
      <w:r w:rsidRPr="007B2765">
        <w:rPr>
          <w:rFonts w:ascii="Times New Roman" w:hAnsi="Times New Roman"/>
          <w:i/>
          <w:sz w:val="20"/>
          <w:szCs w:val="20"/>
        </w:rPr>
        <w:t>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81"/>
        <w:gridCol w:w="1981"/>
      </w:tblGrid>
      <w:tr w:rsidR="00AC05FD" w:rsidRPr="007B2765" w:rsidTr="00F121CA">
        <w:trPr>
          <w:jc w:val="center"/>
        </w:trPr>
        <w:tc>
          <w:tcPr>
            <w:tcW w:w="4248" w:type="dxa"/>
          </w:tcPr>
          <w:p w:rsidR="00AC05FD" w:rsidRPr="007B2765" w:rsidRDefault="00AC05FD" w:rsidP="008F6324">
            <w:pPr>
              <w:jc w:val="center"/>
              <w:rPr>
                <w:lang w:val="ru-RU"/>
              </w:rPr>
            </w:pPr>
            <w:proofErr w:type="spellStart"/>
            <w:r w:rsidRPr="007B2765">
              <w:rPr>
                <w:lang w:val="ru-RU"/>
              </w:rPr>
              <w:t>Найменування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показника</w:t>
            </w:r>
            <w:proofErr w:type="spellEnd"/>
          </w:p>
          <w:p w:rsidR="00AC05FD" w:rsidRPr="007B2765" w:rsidRDefault="00AC05FD" w:rsidP="008F6324">
            <w:pPr>
              <w:jc w:val="center"/>
              <w:rPr>
                <w:lang w:val="ru-RU"/>
              </w:rPr>
            </w:pPr>
          </w:p>
        </w:tc>
        <w:tc>
          <w:tcPr>
            <w:tcW w:w="1981" w:type="dxa"/>
          </w:tcPr>
          <w:p w:rsidR="00AC05FD" w:rsidRPr="007B2765" w:rsidRDefault="00AC05FD" w:rsidP="000D72B8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201</w:t>
            </w:r>
            <w:r w:rsidR="000D72B8" w:rsidRPr="007B2765">
              <w:rPr>
                <w:lang w:val="ru-RU"/>
              </w:rPr>
              <w:t>3</w:t>
            </w:r>
          </w:p>
        </w:tc>
        <w:tc>
          <w:tcPr>
            <w:tcW w:w="1981" w:type="dxa"/>
          </w:tcPr>
          <w:p w:rsidR="00AC05FD" w:rsidRPr="007B2765" w:rsidRDefault="00AC05FD" w:rsidP="000D72B8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201</w:t>
            </w:r>
            <w:r w:rsidR="000D72B8" w:rsidRPr="007B2765">
              <w:rPr>
                <w:lang w:val="ru-RU"/>
              </w:rPr>
              <w:t>2</w:t>
            </w:r>
            <w:r w:rsidRPr="007B2765">
              <w:rPr>
                <w:lang w:val="ru-RU"/>
              </w:rPr>
              <w:t xml:space="preserve"> р.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bookmarkStart w:id="0" w:name="_GoBack"/>
            <w:proofErr w:type="spellStart"/>
            <w:r w:rsidRPr="009E7911">
              <w:rPr>
                <w:lang w:val="ru-RU"/>
              </w:rPr>
              <w:t>Усього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активі</w:t>
            </w:r>
            <w:proofErr w:type="gramStart"/>
            <w:r w:rsidRPr="009E7911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39235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43250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Основні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засоби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13349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13992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Довгострокові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фінансові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інвестиції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3490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3490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r w:rsidRPr="009E7911">
              <w:rPr>
                <w:lang w:val="ru-RU"/>
              </w:rPr>
              <w:t>Запаси</w:t>
            </w:r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6966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7111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Сумарна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дебіторська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заборгованість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15014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17942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Грошові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кошти</w:t>
            </w:r>
            <w:proofErr w:type="spellEnd"/>
            <w:r w:rsidRPr="009E7911">
              <w:rPr>
                <w:lang w:val="ru-RU"/>
              </w:rPr>
              <w:t xml:space="preserve"> та </w:t>
            </w:r>
            <w:proofErr w:type="spellStart"/>
            <w:r w:rsidRPr="009E7911">
              <w:rPr>
                <w:lang w:val="ru-RU"/>
              </w:rPr>
              <w:t>їх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еквіваленти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284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574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Нерозподілений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28787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31406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Власний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капітал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29466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32085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Статутний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капітал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431,6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431,6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Довгострокові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зобов</w:t>
            </w:r>
            <w:proofErr w:type="gramStart"/>
            <w:r w:rsidRPr="009E7911">
              <w:rPr>
                <w:lang w:val="ru-RU"/>
              </w:rPr>
              <w:t>»я</w:t>
            </w:r>
            <w:proofErr w:type="gramEnd"/>
            <w:r w:rsidRPr="009E7911">
              <w:rPr>
                <w:lang w:val="ru-RU"/>
              </w:rPr>
              <w:t>зання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-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-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Поточні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зобов</w:t>
            </w:r>
            <w:proofErr w:type="gramStart"/>
            <w:r w:rsidRPr="009E7911">
              <w:rPr>
                <w:lang w:val="ru-RU"/>
              </w:rPr>
              <w:t>»я</w:t>
            </w:r>
            <w:proofErr w:type="gramEnd"/>
            <w:r w:rsidRPr="009E7911">
              <w:rPr>
                <w:lang w:val="ru-RU"/>
              </w:rPr>
              <w:t>зання</w:t>
            </w:r>
            <w:proofErr w:type="spellEnd"/>
          </w:p>
        </w:tc>
        <w:tc>
          <w:tcPr>
            <w:tcW w:w="1981" w:type="dxa"/>
          </w:tcPr>
          <w:p w:rsidR="000D72B8" w:rsidRPr="009E7911" w:rsidRDefault="000D72B8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9769</w:t>
            </w:r>
          </w:p>
        </w:tc>
        <w:tc>
          <w:tcPr>
            <w:tcW w:w="1981" w:type="dxa"/>
          </w:tcPr>
          <w:p w:rsidR="000D72B8" w:rsidRPr="009E7911" w:rsidRDefault="000D72B8" w:rsidP="000D72B8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11165</w:t>
            </w:r>
          </w:p>
        </w:tc>
      </w:tr>
      <w:tr w:rsidR="009E7911" w:rsidRPr="009E7911" w:rsidTr="00F121CA">
        <w:trPr>
          <w:jc w:val="center"/>
        </w:trPr>
        <w:tc>
          <w:tcPr>
            <w:tcW w:w="4248" w:type="dxa"/>
          </w:tcPr>
          <w:p w:rsidR="000D72B8" w:rsidRPr="009E7911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9E7911">
              <w:rPr>
                <w:lang w:val="ru-RU"/>
              </w:rPr>
              <w:t>Чистий</w:t>
            </w:r>
            <w:proofErr w:type="spellEnd"/>
            <w:r w:rsidRPr="009E7911">
              <w:rPr>
                <w:lang w:val="ru-RU"/>
              </w:rPr>
              <w:t xml:space="preserve"> </w:t>
            </w:r>
            <w:proofErr w:type="spellStart"/>
            <w:r w:rsidRPr="009E7911">
              <w:rPr>
                <w:lang w:val="ru-RU"/>
              </w:rPr>
              <w:t>прибуток</w:t>
            </w:r>
            <w:proofErr w:type="spellEnd"/>
          </w:p>
        </w:tc>
        <w:tc>
          <w:tcPr>
            <w:tcW w:w="1981" w:type="dxa"/>
          </w:tcPr>
          <w:p w:rsidR="000D72B8" w:rsidRPr="009E7911" w:rsidRDefault="007B2765" w:rsidP="008F6324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-2619,0</w:t>
            </w:r>
          </w:p>
        </w:tc>
        <w:tc>
          <w:tcPr>
            <w:tcW w:w="1981" w:type="dxa"/>
          </w:tcPr>
          <w:p w:rsidR="000D72B8" w:rsidRPr="009E7911" w:rsidRDefault="000D72B8" w:rsidP="00000FC6">
            <w:pPr>
              <w:jc w:val="center"/>
              <w:rPr>
                <w:lang w:val="ru-RU"/>
              </w:rPr>
            </w:pPr>
            <w:r w:rsidRPr="009E7911">
              <w:rPr>
                <w:lang w:val="ru-RU"/>
              </w:rPr>
              <w:t>-4602,0</w:t>
            </w:r>
          </w:p>
        </w:tc>
      </w:tr>
      <w:bookmarkEnd w:id="0"/>
      <w:tr w:rsidR="000D72B8" w:rsidRPr="007B2765" w:rsidTr="00F121CA">
        <w:trPr>
          <w:jc w:val="center"/>
        </w:trPr>
        <w:tc>
          <w:tcPr>
            <w:tcW w:w="4248" w:type="dxa"/>
          </w:tcPr>
          <w:p w:rsidR="000D72B8" w:rsidRPr="007B2765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7B2765">
              <w:rPr>
                <w:lang w:val="ru-RU"/>
              </w:rPr>
              <w:t>Середньорічна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кількість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акцій</w:t>
            </w:r>
            <w:proofErr w:type="spellEnd"/>
            <w:r w:rsidRPr="007B2765">
              <w:rPr>
                <w:lang w:val="ru-RU"/>
              </w:rPr>
              <w:t xml:space="preserve"> (шт.)</w:t>
            </w:r>
          </w:p>
        </w:tc>
        <w:tc>
          <w:tcPr>
            <w:tcW w:w="1981" w:type="dxa"/>
          </w:tcPr>
          <w:p w:rsidR="000D72B8" w:rsidRPr="007B2765" w:rsidRDefault="007B2765" w:rsidP="00DC00B4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411054</w:t>
            </w:r>
          </w:p>
        </w:tc>
        <w:tc>
          <w:tcPr>
            <w:tcW w:w="1981" w:type="dxa"/>
          </w:tcPr>
          <w:p w:rsidR="000D72B8" w:rsidRPr="007B2765" w:rsidRDefault="000D72B8" w:rsidP="00000FC6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411054</w:t>
            </w:r>
          </w:p>
        </w:tc>
      </w:tr>
      <w:tr w:rsidR="000D72B8" w:rsidRPr="007B2765" w:rsidTr="00F121CA">
        <w:trPr>
          <w:jc w:val="center"/>
        </w:trPr>
        <w:tc>
          <w:tcPr>
            <w:tcW w:w="4248" w:type="dxa"/>
          </w:tcPr>
          <w:p w:rsidR="000D72B8" w:rsidRPr="007B2765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7B2765">
              <w:rPr>
                <w:lang w:val="ru-RU"/>
              </w:rPr>
              <w:t>Кількість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власних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акцій</w:t>
            </w:r>
            <w:proofErr w:type="spellEnd"/>
            <w:r w:rsidRPr="007B2765">
              <w:rPr>
                <w:lang w:val="ru-RU"/>
              </w:rPr>
              <w:t xml:space="preserve">, </w:t>
            </w:r>
            <w:proofErr w:type="spellStart"/>
            <w:r w:rsidRPr="007B2765">
              <w:rPr>
                <w:lang w:val="ru-RU"/>
              </w:rPr>
              <w:t>викуплених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протягом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періоду</w:t>
            </w:r>
            <w:proofErr w:type="spellEnd"/>
          </w:p>
        </w:tc>
        <w:tc>
          <w:tcPr>
            <w:tcW w:w="1981" w:type="dxa"/>
          </w:tcPr>
          <w:p w:rsidR="000D72B8" w:rsidRPr="007B2765" w:rsidRDefault="007B2765" w:rsidP="008F6324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0</w:t>
            </w:r>
          </w:p>
        </w:tc>
        <w:tc>
          <w:tcPr>
            <w:tcW w:w="1981" w:type="dxa"/>
          </w:tcPr>
          <w:p w:rsidR="000D72B8" w:rsidRPr="007B2765" w:rsidRDefault="000D72B8" w:rsidP="00000FC6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0</w:t>
            </w:r>
          </w:p>
        </w:tc>
      </w:tr>
      <w:tr w:rsidR="000D72B8" w:rsidRPr="007B2765" w:rsidTr="00F121CA">
        <w:trPr>
          <w:jc w:val="center"/>
        </w:trPr>
        <w:tc>
          <w:tcPr>
            <w:tcW w:w="4248" w:type="dxa"/>
          </w:tcPr>
          <w:p w:rsidR="000D72B8" w:rsidRPr="007B2765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7B2765">
              <w:rPr>
                <w:lang w:val="ru-RU"/>
              </w:rPr>
              <w:t>Загальна</w:t>
            </w:r>
            <w:proofErr w:type="spellEnd"/>
            <w:r w:rsidRPr="007B2765">
              <w:rPr>
                <w:lang w:val="ru-RU"/>
              </w:rPr>
              <w:t xml:space="preserve"> сума </w:t>
            </w:r>
            <w:proofErr w:type="spellStart"/>
            <w:r w:rsidRPr="007B2765">
              <w:rPr>
                <w:lang w:val="ru-RU"/>
              </w:rPr>
              <w:t>коштів</w:t>
            </w:r>
            <w:proofErr w:type="spellEnd"/>
            <w:r w:rsidRPr="007B2765">
              <w:rPr>
                <w:lang w:val="ru-RU"/>
              </w:rPr>
              <w:t xml:space="preserve">, </w:t>
            </w:r>
            <w:proofErr w:type="spellStart"/>
            <w:r w:rsidRPr="007B2765">
              <w:rPr>
                <w:lang w:val="ru-RU"/>
              </w:rPr>
              <w:t>витрачених</w:t>
            </w:r>
            <w:proofErr w:type="spellEnd"/>
            <w:r w:rsidRPr="007B2765">
              <w:rPr>
                <w:lang w:val="ru-RU"/>
              </w:rPr>
              <w:t xml:space="preserve"> на </w:t>
            </w:r>
            <w:proofErr w:type="spellStart"/>
            <w:r w:rsidRPr="007B2765">
              <w:rPr>
                <w:lang w:val="ru-RU"/>
              </w:rPr>
              <w:t>викуп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власних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акцій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протягом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періоду</w:t>
            </w:r>
            <w:proofErr w:type="spellEnd"/>
          </w:p>
        </w:tc>
        <w:tc>
          <w:tcPr>
            <w:tcW w:w="1981" w:type="dxa"/>
          </w:tcPr>
          <w:p w:rsidR="000D72B8" w:rsidRPr="007B2765" w:rsidRDefault="007B2765" w:rsidP="008F6324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0</w:t>
            </w:r>
          </w:p>
        </w:tc>
        <w:tc>
          <w:tcPr>
            <w:tcW w:w="1981" w:type="dxa"/>
          </w:tcPr>
          <w:p w:rsidR="000D72B8" w:rsidRPr="007B2765" w:rsidRDefault="000D72B8" w:rsidP="00000FC6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0</w:t>
            </w:r>
          </w:p>
        </w:tc>
      </w:tr>
      <w:tr w:rsidR="000D72B8" w:rsidRPr="007B2765" w:rsidTr="00F121CA">
        <w:trPr>
          <w:jc w:val="center"/>
        </w:trPr>
        <w:tc>
          <w:tcPr>
            <w:tcW w:w="4248" w:type="dxa"/>
          </w:tcPr>
          <w:p w:rsidR="000D72B8" w:rsidRPr="007B2765" w:rsidRDefault="000D72B8" w:rsidP="008F6324">
            <w:pPr>
              <w:jc w:val="both"/>
              <w:rPr>
                <w:lang w:val="ru-RU"/>
              </w:rPr>
            </w:pPr>
            <w:proofErr w:type="spellStart"/>
            <w:r w:rsidRPr="007B2765">
              <w:rPr>
                <w:lang w:val="ru-RU"/>
              </w:rPr>
              <w:t>Чисельність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працівникі</w:t>
            </w:r>
            <w:proofErr w:type="gramStart"/>
            <w:r w:rsidRPr="007B2765">
              <w:rPr>
                <w:lang w:val="ru-RU"/>
              </w:rPr>
              <w:t>в</w:t>
            </w:r>
            <w:proofErr w:type="spellEnd"/>
            <w:proofErr w:type="gramEnd"/>
            <w:r w:rsidRPr="007B2765">
              <w:rPr>
                <w:lang w:val="ru-RU"/>
              </w:rPr>
              <w:t xml:space="preserve"> </w:t>
            </w:r>
            <w:proofErr w:type="gramStart"/>
            <w:r w:rsidRPr="007B2765">
              <w:rPr>
                <w:lang w:val="ru-RU"/>
              </w:rPr>
              <w:t>на</w:t>
            </w:r>
            <w:proofErr w:type="gram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кінець</w:t>
            </w:r>
            <w:proofErr w:type="spellEnd"/>
            <w:r w:rsidRPr="007B2765">
              <w:rPr>
                <w:lang w:val="ru-RU"/>
              </w:rPr>
              <w:t xml:space="preserve"> </w:t>
            </w:r>
            <w:proofErr w:type="spellStart"/>
            <w:r w:rsidRPr="007B2765">
              <w:rPr>
                <w:lang w:val="ru-RU"/>
              </w:rPr>
              <w:t>періоду</w:t>
            </w:r>
            <w:proofErr w:type="spellEnd"/>
            <w:r w:rsidRPr="007B2765">
              <w:rPr>
                <w:lang w:val="ru-RU"/>
              </w:rPr>
              <w:t xml:space="preserve"> (</w:t>
            </w:r>
            <w:proofErr w:type="spellStart"/>
            <w:r w:rsidRPr="007B2765">
              <w:rPr>
                <w:lang w:val="ru-RU"/>
              </w:rPr>
              <w:t>осіб</w:t>
            </w:r>
            <w:proofErr w:type="spellEnd"/>
            <w:r w:rsidRPr="007B2765">
              <w:rPr>
                <w:lang w:val="ru-RU"/>
              </w:rPr>
              <w:t>)</w:t>
            </w:r>
          </w:p>
        </w:tc>
        <w:tc>
          <w:tcPr>
            <w:tcW w:w="1981" w:type="dxa"/>
          </w:tcPr>
          <w:p w:rsidR="000D72B8" w:rsidRPr="007B2765" w:rsidRDefault="007B2765" w:rsidP="008F6324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20</w:t>
            </w:r>
          </w:p>
        </w:tc>
        <w:tc>
          <w:tcPr>
            <w:tcW w:w="1981" w:type="dxa"/>
          </w:tcPr>
          <w:p w:rsidR="000D72B8" w:rsidRPr="007B2765" w:rsidRDefault="000D72B8" w:rsidP="00000FC6">
            <w:pPr>
              <w:jc w:val="center"/>
              <w:rPr>
                <w:lang w:val="ru-RU"/>
              </w:rPr>
            </w:pPr>
            <w:r w:rsidRPr="007B2765">
              <w:rPr>
                <w:lang w:val="ru-RU"/>
              </w:rPr>
              <w:t>31</w:t>
            </w:r>
          </w:p>
        </w:tc>
      </w:tr>
    </w:tbl>
    <w:p w:rsidR="004B31BC" w:rsidRPr="007B2765" w:rsidRDefault="004B31BC" w:rsidP="004B31BC">
      <w:pPr>
        <w:ind w:firstLine="708"/>
        <w:jc w:val="both"/>
        <w:rPr>
          <w:lang w:val="ru-RU"/>
        </w:rPr>
      </w:pPr>
      <w:r w:rsidRPr="007B2765">
        <w:rPr>
          <w:lang w:val="ru-RU"/>
        </w:rPr>
        <w:t xml:space="preserve">Для </w:t>
      </w:r>
      <w:proofErr w:type="spellStart"/>
      <w:r w:rsidRPr="007B2765">
        <w:rPr>
          <w:lang w:val="ru-RU"/>
        </w:rPr>
        <w:t>прийняття</w:t>
      </w:r>
      <w:proofErr w:type="spellEnd"/>
      <w:r w:rsidRPr="007B2765">
        <w:rPr>
          <w:lang w:val="ru-RU"/>
        </w:rPr>
        <w:t xml:space="preserve"> </w:t>
      </w:r>
      <w:proofErr w:type="spellStart"/>
      <w:r w:rsidRPr="007B2765">
        <w:rPr>
          <w:lang w:val="ru-RU"/>
        </w:rPr>
        <w:t>участі</w:t>
      </w:r>
      <w:proofErr w:type="spellEnd"/>
      <w:r w:rsidRPr="007B2765">
        <w:rPr>
          <w:lang w:val="ru-RU"/>
        </w:rPr>
        <w:t xml:space="preserve"> у </w:t>
      </w:r>
      <w:proofErr w:type="spellStart"/>
      <w:r w:rsidRPr="007B2765">
        <w:rPr>
          <w:lang w:val="ru-RU"/>
        </w:rPr>
        <w:t>зборах</w:t>
      </w:r>
      <w:proofErr w:type="spellEnd"/>
      <w:r w:rsidRPr="007B2765">
        <w:rPr>
          <w:lang w:val="ru-RU"/>
        </w:rPr>
        <w:t xml:space="preserve">, Вам </w:t>
      </w:r>
      <w:proofErr w:type="spellStart"/>
      <w:r w:rsidRPr="007B2765">
        <w:rPr>
          <w:lang w:val="ru-RU"/>
        </w:rPr>
        <w:t>необхідно</w:t>
      </w:r>
      <w:proofErr w:type="spellEnd"/>
      <w:r w:rsidRPr="007B2765">
        <w:rPr>
          <w:lang w:val="ru-RU"/>
        </w:rPr>
        <w:t xml:space="preserve"> при </w:t>
      </w:r>
      <w:proofErr w:type="spellStart"/>
      <w:r w:rsidRPr="007B2765">
        <w:rPr>
          <w:lang w:val="ru-RU"/>
        </w:rPr>
        <w:t>собі</w:t>
      </w:r>
      <w:proofErr w:type="spellEnd"/>
      <w:r w:rsidRPr="007B2765">
        <w:rPr>
          <w:lang w:val="ru-RU"/>
        </w:rPr>
        <w:t xml:space="preserve"> </w:t>
      </w:r>
      <w:proofErr w:type="spellStart"/>
      <w:r w:rsidRPr="007B2765">
        <w:rPr>
          <w:lang w:val="ru-RU"/>
        </w:rPr>
        <w:t>мати</w:t>
      </w:r>
      <w:proofErr w:type="spellEnd"/>
      <w:r w:rsidRPr="007B2765">
        <w:rPr>
          <w:lang w:val="ru-RU"/>
        </w:rPr>
        <w:t xml:space="preserve"> документ, </w:t>
      </w:r>
      <w:proofErr w:type="spellStart"/>
      <w:r w:rsidRPr="007B2765">
        <w:rPr>
          <w:lang w:val="ru-RU"/>
        </w:rPr>
        <w:t>що</w:t>
      </w:r>
      <w:proofErr w:type="spellEnd"/>
      <w:r w:rsidRPr="007B2765">
        <w:rPr>
          <w:lang w:val="ru-RU"/>
        </w:rPr>
        <w:t xml:space="preserve"> </w:t>
      </w:r>
      <w:proofErr w:type="spellStart"/>
      <w:r w:rsidRPr="007B2765">
        <w:rPr>
          <w:lang w:val="ru-RU"/>
        </w:rPr>
        <w:t>посвідчує</w:t>
      </w:r>
      <w:proofErr w:type="spellEnd"/>
      <w:r w:rsidRPr="007B2765">
        <w:rPr>
          <w:lang w:val="ru-RU"/>
        </w:rPr>
        <w:t xml:space="preserve"> особу.</w:t>
      </w:r>
    </w:p>
    <w:p w:rsidR="004B31BC" w:rsidRPr="007B2765" w:rsidRDefault="004B31BC" w:rsidP="004B31BC">
      <w:pPr>
        <w:ind w:firstLine="708"/>
        <w:jc w:val="both"/>
      </w:pPr>
      <w:r w:rsidRPr="007B2765">
        <w:t xml:space="preserve">Якщо у Вас немає можливості особисто прийняти участь у зборах, Ви можете делегувати свої права своєму представнику шляхом оформлення доручення на право участі та голосування на </w:t>
      </w:r>
      <w:proofErr w:type="spellStart"/>
      <w:r w:rsidR="00AC05FD" w:rsidRPr="007B2765">
        <w:rPr>
          <w:lang w:val="ru-RU"/>
        </w:rPr>
        <w:t>річних</w:t>
      </w:r>
      <w:proofErr w:type="spellEnd"/>
      <w:r w:rsidR="00AC05FD" w:rsidRPr="007B2765">
        <w:rPr>
          <w:lang w:val="ru-RU"/>
        </w:rPr>
        <w:t xml:space="preserve"> </w:t>
      </w:r>
      <w:r w:rsidRPr="007B2765">
        <w:t>загальних зборах, посвідчене нотаріусом, депозитарієм, зберігачем або іншої посадовою особою, що має право вчиняти нотаріальні дії.</w:t>
      </w:r>
    </w:p>
    <w:p w:rsidR="004B31BC" w:rsidRPr="007B2765" w:rsidRDefault="004B31BC" w:rsidP="004B31BC">
      <w:pPr>
        <w:ind w:firstLine="708"/>
        <w:jc w:val="both"/>
      </w:pPr>
      <w:r w:rsidRPr="007B2765">
        <w:t>За неповнолітніх акціонерів до 18 років право голосу мають їх батьки та офіційні опікуни, яким необхідно мати з собою свідоцтво про народження дитини.</w:t>
      </w:r>
    </w:p>
    <w:p w:rsidR="004B31BC" w:rsidRPr="007B2765" w:rsidRDefault="004B31BC" w:rsidP="004B31BC">
      <w:pPr>
        <w:tabs>
          <w:tab w:val="left" w:pos="709"/>
        </w:tabs>
        <w:ind w:firstLine="709"/>
        <w:jc w:val="both"/>
      </w:pPr>
      <w:r w:rsidRPr="007B2765">
        <w:t xml:space="preserve">Поштову кореспонденцію прохання направляти правлінню ПАТ „УБ ХАЕС” на адресу 30100, м. </w:t>
      </w:r>
      <w:proofErr w:type="spellStart"/>
      <w:r w:rsidRPr="007B2765">
        <w:t>Нетішин</w:t>
      </w:r>
      <w:proofErr w:type="spellEnd"/>
      <w:r w:rsidRPr="007B2765">
        <w:t>, вул. Ринкова, б.5 .</w:t>
      </w:r>
    </w:p>
    <w:p w:rsidR="004B31BC" w:rsidRPr="007B2765" w:rsidRDefault="004B31BC" w:rsidP="004B31BC">
      <w:pPr>
        <w:tabs>
          <w:tab w:val="left" w:pos="709"/>
        </w:tabs>
        <w:ind w:firstLine="709"/>
        <w:jc w:val="both"/>
      </w:pPr>
      <w:r w:rsidRPr="007B2765">
        <w:t>Ознайомлення акціонерів з документами, необхідними для прийняття рішень, здійснюватиметься: в кабінеті №</w:t>
      </w:r>
      <w:r w:rsidR="007B2765" w:rsidRPr="007B2765">
        <w:t>102</w:t>
      </w:r>
      <w:r w:rsidRPr="007B2765">
        <w:t xml:space="preserve"> за місцезнаходженням Товариства у робочі дні з 08-00 до 12-00 год., </w:t>
      </w:r>
      <w:r w:rsidRPr="007B2765">
        <w:rPr>
          <w:kern w:val="16"/>
        </w:rPr>
        <w:t>в електронній формі шляхом надсилання на особисту електронну адресу акціонера, вказану у його письмовому запиті, а також</w:t>
      </w:r>
      <w:r w:rsidRPr="007B2765">
        <w:rPr>
          <w:lang w:val="ru-RU"/>
        </w:rPr>
        <w:t xml:space="preserve"> </w:t>
      </w:r>
      <w:r w:rsidR="00AC05FD" w:rsidRPr="007B2765">
        <w:t xml:space="preserve">у день проведення річних </w:t>
      </w:r>
      <w:r w:rsidRPr="007B2765">
        <w:t>загальних зборів – у місці їх проведення. Особа, відповідальн</w:t>
      </w:r>
      <w:r w:rsidR="003E1242" w:rsidRPr="007B2765">
        <w:t>а</w:t>
      </w:r>
      <w:r w:rsidRPr="007B2765">
        <w:t xml:space="preserve"> за порядок ознайомлення акціонерів - корпоративний секретар ПАТ «УБ ХАЕС».</w:t>
      </w:r>
    </w:p>
    <w:p w:rsidR="004B31BC" w:rsidRPr="007B2765" w:rsidRDefault="004B31BC" w:rsidP="004B31BC">
      <w:pPr>
        <w:tabs>
          <w:tab w:val="left" w:pos="709"/>
        </w:tabs>
        <w:ind w:firstLine="709"/>
        <w:jc w:val="both"/>
      </w:pPr>
      <w:r w:rsidRPr="007B2765">
        <w:t>Телефони для довідок: (0384</w:t>
      </w:r>
      <w:r w:rsidRPr="007B2765">
        <w:rPr>
          <w:lang w:val="ru-RU"/>
        </w:rPr>
        <w:t>2</w:t>
      </w:r>
      <w:r w:rsidRPr="007B2765">
        <w:t>) 3</w:t>
      </w:r>
      <w:r w:rsidR="00AC05FD" w:rsidRPr="007B2765">
        <w:t>-23-73, 3-13-11</w:t>
      </w:r>
      <w:r w:rsidRPr="007B2765">
        <w:t xml:space="preserve">. </w:t>
      </w:r>
    </w:p>
    <w:p w:rsidR="009B55DD" w:rsidRPr="007B2765" w:rsidRDefault="004B31BC" w:rsidP="004B31BC">
      <w:pPr>
        <w:ind w:left="6372" w:hanging="3537"/>
        <w:jc w:val="right"/>
        <w:rPr>
          <w:lang w:val="ru-RU"/>
        </w:rPr>
      </w:pPr>
      <w:r w:rsidRPr="007B2765">
        <w:rPr>
          <w:b/>
        </w:rPr>
        <w:t>Правління ПАТ „УБ ХАЕС”</w:t>
      </w:r>
    </w:p>
    <w:sectPr w:rsidR="009B55DD" w:rsidRPr="007B2765" w:rsidSect="007B2765">
      <w:pgSz w:w="11907" w:h="16839" w:code="9"/>
      <w:pgMar w:top="567" w:right="426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B85"/>
    <w:multiLevelType w:val="hybridMultilevel"/>
    <w:tmpl w:val="F258C774"/>
    <w:lvl w:ilvl="0" w:tplc="3AA09044">
      <w:start w:val="5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F01C1D"/>
    <w:multiLevelType w:val="hybridMultilevel"/>
    <w:tmpl w:val="A10CC1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35BF"/>
    <w:multiLevelType w:val="hybridMultilevel"/>
    <w:tmpl w:val="2336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C1F58"/>
    <w:multiLevelType w:val="hybridMultilevel"/>
    <w:tmpl w:val="FECA5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E40AA"/>
    <w:multiLevelType w:val="hybridMultilevel"/>
    <w:tmpl w:val="30A81D7C"/>
    <w:lvl w:ilvl="0" w:tplc="D18EC626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D"/>
    <w:rsid w:val="00075BBF"/>
    <w:rsid w:val="000C3871"/>
    <w:rsid w:val="000D3BA9"/>
    <w:rsid w:val="000D72B8"/>
    <w:rsid w:val="001F0334"/>
    <w:rsid w:val="002B414F"/>
    <w:rsid w:val="003D0FEA"/>
    <w:rsid w:val="003E1242"/>
    <w:rsid w:val="004A197B"/>
    <w:rsid w:val="004B31BC"/>
    <w:rsid w:val="004B7C3E"/>
    <w:rsid w:val="004E0318"/>
    <w:rsid w:val="006B0CE2"/>
    <w:rsid w:val="006C54D2"/>
    <w:rsid w:val="007526CF"/>
    <w:rsid w:val="007B2765"/>
    <w:rsid w:val="009107EE"/>
    <w:rsid w:val="009B55DD"/>
    <w:rsid w:val="009E620C"/>
    <w:rsid w:val="009E7911"/>
    <w:rsid w:val="00AC05FD"/>
    <w:rsid w:val="00C3588B"/>
    <w:rsid w:val="00DC00B4"/>
    <w:rsid w:val="00DD2F79"/>
    <w:rsid w:val="00E409FE"/>
    <w:rsid w:val="00E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D7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pelle">
    <w:name w:val="spelle"/>
    <w:basedOn w:val="a0"/>
    <w:rsid w:val="009B55DD"/>
  </w:style>
  <w:style w:type="character" w:customStyle="1" w:styleId="grame">
    <w:name w:val="grame"/>
    <w:basedOn w:val="a0"/>
    <w:rsid w:val="009B55DD"/>
  </w:style>
  <w:style w:type="paragraph" w:styleId="a4">
    <w:name w:val="No Spacing"/>
    <w:uiPriority w:val="1"/>
    <w:qFormat/>
    <w:rsid w:val="000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D7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pelle">
    <w:name w:val="spelle"/>
    <w:basedOn w:val="a0"/>
    <w:rsid w:val="009B55DD"/>
  </w:style>
  <w:style w:type="character" w:customStyle="1" w:styleId="grame">
    <w:name w:val="grame"/>
    <w:basedOn w:val="a0"/>
    <w:rsid w:val="009B55DD"/>
  </w:style>
  <w:style w:type="paragraph" w:styleId="a4">
    <w:name w:val="No Spacing"/>
    <w:uiPriority w:val="1"/>
    <w:qFormat/>
    <w:rsid w:val="000D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TopHits™</dc:creator>
  <cp:lastModifiedBy>Админ</cp:lastModifiedBy>
  <cp:revision>5</cp:revision>
  <cp:lastPrinted>2014-03-13T17:19:00Z</cp:lastPrinted>
  <dcterms:created xsi:type="dcterms:W3CDTF">2014-03-10T10:48:00Z</dcterms:created>
  <dcterms:modified xsi:type="dcterms:W3CDTF">2014-03-13T17:35:00Z</dcterms:modified>
</cp:coreProperties>
</file>